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86E5" w14:textId="77777777" w:rsidR="000D3B00" w:rsidRPr="002B43EE" w:rsidRDefault="000D3B00">
      <w:pPr>
        <w:widowControl w:val="0"/>
        <w:pBdr>
          <w:top w:val="nil"/>
          <w:left w:val="nil"/>
          <w:bottom w:val="nil"/>
          <w:right w:val="nil"/>
          <w:between w:val="nil"/>
        </w:pBdr>
        <w:spacing w:line="276" w:lineRule="auto"/>
      </w:pPr>
    </w:p>
    <w:p w14:paraId="4A5286E6" w14:textId="77777777" w:rsidR="000D3B00" w:rsidRPr="002B43EE" w:rsidRDefault="000D3B00">
      <w:pPr>
        <w:ind w:left="-360" w:right="-540"/>
        <w:rPr>
          <w:rFonts w:ascii="Trebuchet MS" w:eastAsia="Trebuchet MS" w:hAnsi="Trebuchet MS" w:cs="Trebuchet MS"/>
          <w:sz w:val="22"/>
          <w:szCs w:val="22"/>
        </w:rPr>
      </w:pPr>
    </w:p>
    <w:p w14:paraId="4A5286E7" w14:textId="77777777" w:rsidR="000D3B00" w:rsidRPr="002B43EE" w:rsidRDefault="000D3B00">
      <w:pPr>
        <w:ind w:left="-360" w:right="-540"/>
        <w:rPr>
          <w:rFonts w:ascii="Trebuchet MS" w:eastAsia="Trebuchet MS" w:hAnsi="Trebuchet MS" w:cs="Trebuchet MS"/>
          <w:sz w:val="22"/>
          <w:szCs w:val="22"/>
        </w:rPr>
      </w:pPr>
    </w:p>
    <w:p w14:paraId="4A5286E8" w14:textId="77777777" w:rsidR="000D3B00" w:rsidRPr="002B43EE" w:rsidRDefault="000D3B00">
      <w:pPr>
        <w:ind w:left="-360" w:right="-540"/>
        <w:rPr>
          <w:rFonts w:ascii="Trebuchet MS" w:eastAsia="Trebuchet MS" w:hAnsi="Trebuchet MS" w:cs="Trebuchet MS"/>
          <w:sz w:val="22"/>
          <w:szCs w:val="22"/>
        </w:rPr>
      </w:pPr>
    </w:p>
    <w:p w14:paraId="4A5286E9" w14:textId="77777777" w:rsidR="000D3B00" w:rsidRPr="002B43EE" w:rsidRDefault="000D3B00">
      <w:pPr>
        <w:ind w:left="-360" w:right="-540"/>
        <w:rPr>
          <w:rFonts w:ascii="Trebuchet MS" w:eastAsia="Trebuchet MS" w:hAnsi="Trebuchet MS" w:cs="Trebuchet MS"/>
          <w:sz w:val="22"/>
          <w:szCs w:val="22"/>
        </w:rPr>
      </w:pPr>
    </w:p>
    <w:p w14:paraId="4A5286EA" w14:textId="77777777" w:rsidR="000D3B00" w:rsidRPr="002B43EE" w:rsidRDefault="000D3B00">
      <w:pPr>
        <w:ind w:left="-360" w:right="-540"/>
        <w:rPr>
          <w:rFonts w:ascii="Trebuchet MS" w:eastAsia="Trebuchet MS" w:hAnsi="Trebuchet MS" w:cs="Trebuchet MS"/>
          <w:sz w:val="22"/>
          <w:szCs w:val="22"/>
        </w:rPr>
      </w:pPr>
    </w:p>
    <w:p w14:paraId="4A5286EB" w14:textId="77777777" w:rsidR="000D3B00" w:rsidRPr="002B43EE" w:rsidRDefault="000D3B00">
      <w:pPr>
        <w:ind w:left="-360" w:right="-540"/>
        <w:rPr>
          <w:rFonts w:ascii="Trebuchet MS" w:eastAsia="Trebuchet MS" w:hAnsi="Trebuchet MS" w:cs="Trebuchet MS"/>
          <w:sz w:val="22"/>
          <w:szCs w:val="22"/>
        </w:rPr>
      </w:pPr>
    </w:p>
    <w:p w14:paraId="4A5286EC" w14:textId="77777777" w:rsidR="000D3B00" w:rsidRPr="002B43EE" w:rsidRDefault="000D3B00">
      <w:pPr>
        <w:ind w:left="-360" w:right="-540"/>
        <w:rPr>
          <w:rFonts w:ascii="Trebuchet MS" w:eastAsia="Trebuchet MS" w:hAnsi="Trebuchet MS" w:cs="Trebuchet MS"/>
          <w:sz w:val="22"/>
          <w:szCs w:val="22"/>
        </w:rPr>
      </w:pPr>
    </w:p>
    <w:p w14:paraId="4A5286ED" w14:textId="77777777" w:rsidR="000D3B00" w:rsidRPr="002B43EE" w:rsidRDefault="000D3B00">
      <w:pPr>
        <w:ind w:left="-360" w:right="-540"/>
        <w:rPr>
          <w:rFonts w:ascii="Trebuchet MS" w:eastAsia="Trebuchet MS" w:hAnsi="Trebuchet MS" w:cs="Trebuchet MS"/>
          <w:sz w:val="22"/>
          <w:szCs w:val="22"/>
        </w:rPr>
      </w:pPr>
    </w:p>
    <w:p w14:paraId="4A5286EE" w14:textId="77777777" w:rsidR="000D3B00" w:rsidRPr="002B43EE" w:rsidRDefault="000D3B00">
      <w:pPr>
        <w:ind w:left="-360" w:right="-540"/>
        <w:rPr>
          <w:rFonts w:ascii="Trebuchet MS" w:eastAsia="Trebuchet MS" w:hAnsi="Trebuchet MS" w:cs="Trebuchet MS"/>
          <w:sz w:val="22"/>
          <w:szCs w:val="22"/>
        </w:rPr>
      </w:pPr>
    </w:p>
    <w:p w14:paraId="4A5286EF" w14:textId="77777777" w:rsidR="000D3B00" w:rsidRPr="002B43EE" w:rsidRDefault="002B43EE">
      <w:pPr>
        <w:ind w:left="-360" w:right="-540"/>
        <w:jc w:val="center"/>
        <w:rPr>
          <w:rFonts w:ascii="Arial" w:eastAsia="Arial" w:hAnsi="Arial" w:cs="Arial"/>
          <w:b/>
          <w:sz w:val="22"/>
          <w:szCs w:val="22"/>
        </w:rPr>
      </w:pPr>
      <w:r w:rsidRPr="002B43EE">
        <w:rPr>
          <w:rFonts w:ascii="Arial" w:eastAsia="Arial" w:hAnsi="Arial" w:cs="Arial"/>
          <w:b/>
          <w:sz w:val="22"/>
          <w:szCs w:val="22"/>
        </w:rPr>
        <w:t>House Primary and Secondary Education Committee</w:t>
      </w:r>
    </w:p>
    <w:p w14:paraId="4A5286F0" w14:textId="77E2FD93" w:rsidR="000D3B00" w:rsidRPr="002B43EE" w:rsidRDefault="008E08A7">
      <w:pPr>
        <w:ind w:left="-360" w:right="-540"/>
        <w:jc w:val="center"/>
        <w:rPr>
          <w:rFonts w:ascii="Arial" w:eastAsia="Arial" w:hAnsi="Arial" w:cs="Arial"/>
          <w:b/>
          <w:sz w:val="22"/>
          <w:szCs w:val="22"/>
        </w:rPr>
      </w:pPr>
      <w:r>
        <w:rPr>
          <w:rFonts w:ascii="Arial" w:eastAsia="Arial" w:hAnsi="Arial" w:cs="Arial"/>
          <w:b/>
          <w:sz w:val="22"/>
          <w:szCs w:val="22"/>
        </w:rPr>
        <w:t>May 10, 2022</w:t>
      </w:r>
    </w:p>
    <w:p w14:paraId="4A5286F1" w14:textId="28A91880" w:rsidR="000D3B00" w:rsidRPr="002B43EE" w:rsidRDefault="002B43EE">
      <w:pPr>
        <w:ind w:left="-360" w:right="-540"/>
        <w:jc w:val="center"/>
        <w:rPr>
          <w:rFonts w:ascii="Arial" w:eastAsia="Arial" w:hAnsi="Arial" w:cs="Arial"/>
          <w:b/>
          <w:sz w:val="22"/>
          <w:szCs w:val="22"/>
        </w:rPr>
      </w:pPr>
      <w:r w:rsidRPr="002B43EE">
        <w:rPr>
          <w:rFonts w:ascii="Arial" w:eastAsia="Arial" w:hAnsi="Arial" w:cs="Arial"/>
          <w:b/>
          <w:sz w:val="22"/>
          <w:szCs w:val="22"/>
        </w:rPr>
        <w:t>Testimony on HB 49</w:t>
      </w:r>
      <w:r w:rsidR="00DA69BB">
        <w:rPr>
          <w:rFonts w:ascii="Arial" w:eastAsia="Arial" w:hAnsi="Arial" w:cs="Arial"/>
          <w:b/>
          <w:sz w:val="22"/>
          <w:szCs w:val="22"/>
        </w:rPr>
        <w:t>7</w:t>
      </w:r>
    </w:p>
    <w:p w14:paraId="4A5286F2" w14:textId="77777777" w:rsidR="000D3B00" w:rsidRPr="002B43EE" w:rsidRDefault="002B43EE">
      <w:pPr>
        <w:ind w:left="-360" w:right="-540"/>
        <w:jc w:val="center"/>
        <w:rPr>
          <w:rFonts w:ascii="Arial" w:eastAsia="Arial" w:hAnsi="Arial" w:cs="Arial"/>
          <w:b/>
          <w:sz w:val="22"/>
          <w:szCs w:val="22"/>
        </w:rPr>
      </w:pPr>
      <w:r w:rsidRPr="002B43EE">
        <w:rPr>
          <w:rFonts w:ascii="Arial" w:eastAsia="Arial" w:hAnsi="Arial" w:cs="Arial"/>
          <w:b/>
          <w:sz w:val="22"/>
          <w:szCs w:val="22"/>
        </w:rPr>
        <w:t>Rachel Chilton, Executive Director, Ohio School Psychologists Association</w:t>
      </w:r>
    </w:p>
    <w:p w14:paraId="4A5286F3" w14:textId="77777777" w:rsidR="000D3B00" w:rsidRPr="002B43EE" w:rsidRDefault="000D3B00">
      <w:pPr>
        <w:ind w:left="-360" w:right="-540"/>
        <w:jc w:val="center"/>
        <w:rPr>
          <w:rFonts w:ascii="Arial" w:eastAsia="Arial" w:hAnsi="Arial" w:cs="Arial"/>
          <w:b/>
          <w:sz w:val="22"/>
          <w:szCs w:val="22"/>
        </w:rPr>
      </w:pPr>
    </w:p>
    <w:p w14:paraId="4A5286F4" w14:textId="5D5275DC" w:rsidR="000D3B00" w:rsidRPr="002B43EE" w:rsidRDefault="002B43EE">
      <w:pPr>
        <w:ind w:left="-360" w:right="-540"/>
        <w:rPr>
          <w:rFonts w:ascii="Arial" w:eastAsia="Arial" w:hAnsi="Arial" w:cs="Arial"/>
          <w:sz w:val="22"/>
          <w:szCs w:val="22"/>
        </w:rPr>
      </w:pPr>
      <w:r w:rsidRPr="002B43EE">
        <w:rPr>
          <w:rFonts w:ascii="Arial" w:eastAsia="Arial" w:hAnsi="Arial" w:cs="Arial"/>
          <w:sz w:val="22"/>
          <w:szCs w:val="22"/>
        </w:rPr>
        <w:t>Chairwoman Manning, Vice Chair Bird, Ranking Member Robinson, and members of the House Primary and Secondary Education Committee, thank you for the opportunity to provide proponent testimony on HB 49</w:t>
      </w:r>
      <w:r w:rsidR="00DA69BB">
        <w:rPr>
          <w:rFonts w:ascii="Arial" w:eastAsia="Arial" w:hAnsi="Arial" w:cs="Arial"/>
          <w:sz w:val="22"/>
          <w:szCs w:val="22"/>
        </w:rPr>
        <w:t>7</w:t>
      </w:r>
      <w:r w:rsidRPr="002B43EE">
        <w:rPr>
          <w:rFonts w:ascii="Arial" w:eastAsia="Arial" w:hAnsi="Arial" w:cs="Arial"/>
          <w:sz w:val="22"/>
          <w:szCs w:val="22"/>
        </w:rPr>
        <w:t>.</w:t>
      </w:r>
    </w:p>
    <w:p w14:paraId="4A5286F5" w14:textId="77777777" w:rsidR="000D3B00" w:rsidRPr="002B43EE" w:rsidRDefault="000D3B00">
      <w:pPr>
        <w:ind w:left="-360" w:right="-540"/>
        <w:rPr>
          <w:rFonts w:ascii="Arial" w:eastAsia="Arial" w:hAnsi="Arial" w:cs="Arial"/>
          <w:sz w:val="22"/>
          <w:szCs w:val="22"/>
        </w:rPr>
      </w:pPr>
    </w:p>
    <w:p w14:paraId="4A5286F6" w14:textId="19B7D98D" w:rsidR="000D3B00" w:rsidRPr="002B43EE" w:rsidRDefault="002B43EE">
      <w:pPr>
        <w:ind w:left="-360" w:right="-540"/>
        <w:rPr>
          <w:rFonts w:ascii="Arial" w:eastAsia="Arial" w:hAnsi="Arial" w:cs="Arial"/>
          <w:sz w:val="22"/>
          <w:szCs w:val="22"/>
        </w:rPr>
      </w:pPr>
      <w:r w:rsidRPr="002B43EE">
        <w:rPr>
          <w:rFonts w:ascii="Arial" w:eastAsia="Arial" w:hAnsi="Arial" w:cs="Arial"/>
          <w:sz w:val="22"/>
          <w:szCs w:val="22"/>
        </w:rPr>
        <w:t>The Ohio School Psychologists Association, which represents more than 700 school psychologists across Ohio, supports this legislation that would eliminate a legal requirement for retention under the Third Grade Reading Guarantee (TGRG). The bill would remove the requirement that students not meeting the required score on the third-grade English language arts assessment be held back but it would not eliminate the duty of districts to provide intervention and remediation services to students reading below grade level.</w:t>
      </w:r>
    </w:p>
    <w:p w14:paraId="4A5286F7" w14:textId="77777777" w:rsidR="000D3B00" w:rsidRPr="002B43EE" w:rsidRDefault="000D3B00">
      <w:pPr>
        <w:ind w:left="-360" w:right="-540"/>
        <w:rPr>
          <w:rFonts w:ascii="Arial" w:eastAsia="Arial" w:hAnsi="Arial" w:cs="Arial"/>
          <w:sz w:val="22"/>
          <w:szCs w:val="22"/>
        </w:rPr>
      </w:pPr>
    </w:p>
    <w:p w14:paraId="4A5286F8" w14:textId="77777777" w:rsidR="000D3B00" w:rsidRPr="002B43EE" w:rsidRDefault="002B43EE">
      <w:pPr>
        <w:ind w:left="-360" w:right="-540"/>
        <w:rPr>
          <w:rFonts w:ascii="Arial" w:eastAsia="Arial" w:hAnsi="Arial" w:cs="Arial"/>
          <w:sz w:val="22"/>
          <w:szCs w:val="22"/>
        </w:rPr>
      </w:pPr>
      <w:proofErr w:type="gramStart"/>
      <w:r w:rsidRPr="002B43EE">
        <w:rPr>
          <w:rFonts w:ascii="Arial" w:eastAsia="Arial" w:hAnsi="Arial" w:cs="Arial"/>
          <w:sz w:val="22"/>
          <w:szCs w:val="22"/>
        </w:rPr>
        <w:t>The majority of</w:t>
      </w:r>
      <w:proofErr w:type="gramEnd"/>
      <w:r w:rsidRPr="002B43EE">
        <w:rPr>
          <w:rFonts w:ascii="Arial" w:eastAsia="Arial" w:hAnsi="Arial" w:cs="Arial"/>
          <w:sz w:val="22"/>
          <w:szCs w:val="22"/>
        </w:rPr>
        <w:t xml:space="preserve"> studies conducted over the past 40 years on the effectiveness of grade retention do not support its value in remediating academic shortcomings (e.g., Andrew, 2014; </w:t>
      </w:r>
      <w:proofErr w:type="spellStart"/>
      <w:r w:rsidRPr="002B43EE">
        <w:rPr>
          <w:rFonts w:ascii="Arial" w:eastAsia="Arial" w:hAnsi="Arial" w:cs="Arial"/>
          <w:sz w:val="22"/>
          <w:szCs w:val="22"/>
        </w:rPr>
        <w:t>Fruehwirth</w:t>
      </w:r>
      <w:proofErr w:type="spellEnd"/>
      <w:r w:rsidRPr="002B43EE">
        <w:rPr>
          <w:rFonts w:ascii="Arial" w:eastAsia="Arial" w:hAnsi="Arial" w:cs="Arial"/>
          <w:sz w:val="22"/>
          <w:szCs w:val="22"/>
        </w:rPr>
        <w:t xml:space="preserve"> et al., 2016; Hwang &amp; Cappella, 2019; Jimerson, 2001). Studies even show that students who repeat a grade before they enter high school are at increased risk of dropping out even when other variables, including overall academic achievement and disciplinary records, are considered (Hughes et al., 2018; Jacob &amp; </w:t>
      </w:r>
      <w:proofErr w:type="spellStart"/>
      <w:r w:rsidRPr="002B43EE">
        <w:rPr>
          <w:rFonts w:ascii="Arial" w:eastAsia="Arial" w:hAnsi="Arial" w:cs="Arial"/>
          <w:sz w:val="22"/>
          <w:szCs w:val="22"/>
        </w:rPr>
        <w:t>Lefgren</w:t>
      </w:r>
      <w:proofErr w:type="spellEnd"/>
      <w:r w:rsidRPr="002B43EE">
        <w:rPr>
          <w:rFonts w:ascii="Arial" w:eastAsia="Arial" w:hAnsi="Arial" w:cs="Arial"/>
          <w:sz w:val="22"/>
          <w:szCs w:val="22"/>
        </w:rPr>
        <w:t>, 2009; Stearns et al., 2016). Additionally, retained students from minoritized backgrounds drop out at disproportionately higher rates than white students (Hughes et al., 2018).</w:t>
      </w:r>
    </w:p>
    <w:p w14:paraId="4A5286F9" w14:textId="77777777" w:rsidR="000D3B00" w:rsidRPr="002B43EE" w:rsidRDefault="000D3B00">
      <w:pPr>
        <w:ind w:left="-360" w:right="-540"/>
        <w:rPr>
          <w:rFonts w:ascii="Arial" w:eastAsia="Arial" w:hAnsi="Arial" w:cs="Arial"/>
          <w:sz w:val="22"/>
          <w:szCs w:val="22"/>
        </w:rPr>
      </w:pPr>
    </w:p>
    <w:p w14:paraId="4A5286FA" w14:textId="1B2ACA10" w:rsidR="000D3B00" w:rsidRPr="002B43EE" w:rsidRDefault="002B43EE">
      <w:pPr>
        <w:ind w:left="-360" w:right="-540"/>
        <w:rPr>
          <w:rFonts w:ascii="Arial" w:eastAsia="Arial" w:hAnsi="Arial" w:cs="Arial"/>
          <w:sz w:val="22"/>
          <w:szCs w:val="22"/>
        </w:rPr>
      </w:pPr>
      <w:r w:rsidRPr="002B43EE">
        <w:rPr>
          <w:rFonts w:ascii="Arial" w:eastAsia="Arial" w:hAnsi="Arial" w:cs="Arial"/>
          <w:sz w:val="22"/>
          <w:szCs w:val="22"/>
        </w:rPr>
        <w:t>As Rep. Robinson mentioned in sponsor testimony, research on the TGRG published by Ohio State University showed minimal impact to test scores since the law’s enactment</w:t>
      </w:r>
      <w:r>
        <w:rPr>
          <w:rFonts w:ascii="Arial" w:eastAsia="Arial" w:hAnsi="Arial" w:cs="Arial"/>
          <w:sz w:val="22"/>
          <w:szCs w:val="22"/>
        </w:rPr>
        <w:t>.</w:t>
      </w:r>
      <w:r w:rsidRPr="002B43EE">
        <w:rPr>
          <w:rFonts w:ascii="Arial" w:eastAsia="Arial" w:hAnsi="Arial" w:cs="Arial"/>
          <w:sz w:val="22"/>
          <w:szCs w:val="22"/>
        </w:rPr>
        <w:t xml:space="preserve"> No meaningful or significant improvements were seen in </w:t>
      </w:r>
      <w:proofErr w:type="gramStart"/>
      <w:r w:rsidRPr="002B43EE">
        <w:rPr>
          <w:rFonts w:ascii="Arial" w:eastAsia="Arial" w:hAnsi="Arial" w:cs="Arial"/>
          <w:sz w:val="22"/>
          <w:szCs w:val="22"/>
        </w:rPr>
        <w:t>fourth-grade</w:t>
      </w:r>
      <w:proofErr w:type="gramEnd"/>
      <w:r w:rsidRPr="002B43EE">
        <w:rPr>
          <w:rFonts w:ascii="Arial" w:eastAsia="Arial" w:hAnsi="Arial" w:cs="Arial"/>
          <w:sz w:val="22"/>
          <w:szCs w:val="22"/>
        </w:rPr>
        <w:t xml:space="preserve"> reading achievement. Since enactment in 2012, the retention component of the TGRG has not shown benefits that outweigh the potential risks associated with retention.</w:t>
      </w:r>
    </w:p>
    <w:p w14:paraId="4A5286FB" w14:textId="77777777" w:rsidR="000D3B00" w:rsidRPr="002B43EE" w:rsidRDefault="000D3B00">
      <w:pPr>
        <w:ind w:left="-360" w:right="-540"/>
        <w:rPr>
          <w:rFonts w:ascii="Arial" w:eastAsia="Arial" w:hAnsi="Arial" w:cs="Arial"/>
          <w:sz w:val="22"/>
          <w:szCs w:val="22"/>
        </w:rPr>
      </w:pPr>
    </w:p>
    <w:p w14:paraId="4A5286FC" w14:textId="3CB3E951" w:rsidR="000D3B00" w:rsidRPr="002B43EE" w:rsidRDefault="002B43EE">
      <w:pPr>
        <w:ind w:left="-360" w:right="-540"/>
        <w:rPr>
          <w:rFonts w:ascii="Arial" w:eastAsia="Arial" w:hAnsi="Arial" w:cs="Arial"/>
          <w:sz w:val="22"/>
          <w:szCs w:val="22"/>
        </w:rPr>
      </w:pPr>
      <w:r w:rsidRPr="002B43EE">
        <w:rPr>
          <w:rFonts w:ascii="Arial" w:eastAsia="Arial" w:hAnsi="Arial" w:cs="Arial"/>
          <w:sz w:val="22"/>
          <w:szCs w:val="22"/>
        </w:rPr>
        <w:t>Students who are performing below grade level should not be retained, but instead receive support through the required reading improvement and monitoring plan - an intensive, evidence-based intervention plan with frequent progress monitoring.  School psychologists work collaboratively in the school setting to develop these plans, conducting screenings or assessments, developing individualized interventions tailored to student needs, and progress monitoring intervention fidelity and efficacy. Passing HB 49</w:t>
      </w:r>
      <w:r w:rsidR="00DA69BB">
        <w:rPr>
          <w:rFonts w:ascii="Arial" w:eastAsia="Arial" w:hAnsi="Arial" w:cs="Arial"/>
          <w:sz w:val="22"/>
          <w:szCs w:val="22"/>
        </w:rPr>
        <w:t>7</w:t>
      </w:r>
      <w:r w:rsidRPr="002B43EE">
        <w:rPr>
          <w:rFonts w:ascii="Arial" w:eastAsia="Arial" w:hAnsi="Arial" w:cs="Arial"/>
          <w:sz w:val="22"/>
          <w:szCs w:val="22"/>
        </w:rPr>
        <w:t xml:space="preserve"> allows school psychologists (as well as teachers, related service providers, administrators, and </w:t>
      </w:r>
      <w:proofErr w:type="gramStart"/>
      <w:r w:rsidRPr="002B43EE">
        <w:rPr>
          <w:rFonts w:ascii="Arial" w:eastAsia="Arial" w:hAnsi="Arial" w:cs="Arial"/>
          <w:sz w:val="22"/>
          <w:szCs w:val="22"/>
        </w:rPr>
        <w:t>all of</w:t>
      </w:r>
      <w:proofErr w:type="gramEnd"/>
      <w:r w:rsidRPr="002B43EE">
        <w:rPr>
          <w:rFonts w:ascii="Arial" w:eastAsia="Arial" w:hAnsi="Arial" w:cs="Arial"/>
          <w:sz w:val="22"/>
          <w:szCs w:val="22"/>
        </w:rPr>
        <w:t xml:space="preserve"> the student’s educational team) to focus on these proactive approaches to support students and make decisions that support the child as a whole person, not just as a score on a test.  </w:t>
      </w:r>
    </w:p>
    <w:p w14:paraId="4A5286FD" w14:textId="77777777" w:rsidR="000D3B00" w:rsidRPr="002B43EE" w:rsidRDefault="000D3B00">
      <w:pPr>
        <w:ind w:left="-360" w:right="-540"/>
        <w:rPr>
          <w:rFonts w:ascii="Arial" w:eastAsia="Arial" w:hAnsi="Arial" w:cs="Arial"/>
          <w:sz w:val="22"/>
          <w:szCs w:val="22"/>
        </w:rPr>
      </w:pPr>
    </w:p>
    <w:p w14:paraId="4A5286FE" w14:textId="77777777" w:rsidR="000D3B00" w:rsidRPr="002B43EE" w:rsidRDefault="000D3B00">
      <w:pPr>
        <w:ind w:left="-360" w:right="-540"/>
        <w:rPr>
          <w:rFonts w:ascii="Arial" w:eastAsia="Arial" w:hAnsi="Arial" w:cs="Arial"/>
          <w:strike/>
          <w:sz w:val="22"/>
          <w:szCs w:val="22"/>
        </w:rPr>
      </w:pPr>
    </w:p>
    <w:p w14:paraId="4A5286FF" w14:textId="77777777" w:rsidR="000D3B00" w:rsidRPr="002B43EE" w:rsidRDefault="000D3B00">
      <w:pPr>
        <w:ind w:left="-360" w:right="-540"/>
        <w:rPr>
          <w:rFonts w:ascii="Arial" w:eastAsia="Arial" w:hAnsi="Arial" w:cs="Arial"/>
          <w:strike/>
          <w:sz w:val="22"/>
          <w:szCs w:val="22"/>
        </w:rPr>
      </w:pPr>
    </w:p>
    <w:p w14:paraId="4A528700" w14:textId="77777777" w:rsidR="000D3B00" w:rsidRPr="002B43EE" w:rsidRDefault="000D3B00">
      <w:pPr>
        <w:ind w:left="-360" w:right="-540"/>
        <w:rPr>
          <w:rFonts w:ascii="Arial" w:eastAsia="Arial" w:hAnsi="Arial" w:cs="Arial"/>
          <w:strike/>
          <w:sz w:val="22"/>
          <w:szCs w:val="22"/>
        </w:rPr>
      </w:pPr>
    </w:p>
    <w:p w14:paraId="4A528701" w14:textId="77777777" w:rsidR="000D3B00" w:rsidRPr="002B43EE" w:rsidRDefault="000D3B00">
      <w:pPr>
        <w:ind w:left="-360" w:right="-540"/>
        <w:rPr>
          <w:rFonts w:ascii="Arial" w:eastAsia="Arial" w:hAnsi="Arial" w:cs="Arial"/>
          <w:strike/>
          <w:sz w:val="22"/>
          <w:szCs w:val="22"/>
        </w:rPr>
      </w:pPr>
    </w:p>
    <w:p w14:paraId="4A528702" w14:textId="77777777" w:rsidR="000D3B00" w:rsidRPr="002B43EE" w:rsidRDefault="000D3B00">
      <w:pPr>
        <w:ind w:left="-360" w:right="-540"/>
        <w:rPr>
          <w:rFonts w:ascii="Arial" w:eastAsia="Arial" w:hAnsi="Arial" w:cs="Arial"/>
          <w:strike/>
          <w:sz w:val="22"/>
          <w:szCs w:val="22"/>
        </w:rPr>
      </w:pPr>
    </w:p>
    <w:p w14:paraId="4A528703" w14:textId="77777777" w:rsidR="000D3B00" w:rsidRPr="002B43EE" w:rsidRDefault="000D3B00">
      <w:pPr>
        <w:ind w:left="-360" w:right="-540"/>
        <w:rPr>
          <w:rFonts w:ascii="Arial" w:eastAsia="Arial" w:hAnsi="Arial" w:cs="Arial"/>
          <w:strike/>
          <w:sz w:val="22"/>
          <w:szCs w:val="22"/>
        </w:rPr>
      </w:pPr>
    </w:p>
    <w:p w14:paraId="4A528704" w14:textId="77777777" w:rsidR="000D3B00" w:rsidRPr="002B43EE" w:rsidRDefault="000D3B00">
      <w:pPr>
        <w:ind w:left="-360" w:right="-540"/>
        <w:rPr>
          <w:rFonts w:ascii="Arial" w:eastAsia="Arial" w:hAnsi="Arial" w:cs="Arial"/>
          <w:strike/>
          <w:sz w:val="22"/>
          <w:szCs w:val="22"/>
        </w:rPr>
      </w:pPr>
    </w:p>
    <w:p w14:paraId="4A528705" w14:textId="77777777" w:rsidR="000D3B00" w:rsidRPr="002B43EE" w:rsidRDefault="000D3B00">
      <w:pPr>
        <w:ind w:left="-360" w:right="-540"/>
        <w:rPr>
          <w:rFonts w:ascii="Arial" w:eastAsia="Arial" w:hAnsi="Arial" w:cs="Arial"/>
          <w:strike/>
          <w:sz w:val="22"/>
          <w:szCs w:val="22"/>
        </w:rPr>
      </w:pPr>
    </w:p>
    <w:p w14:paraId="4A528709" w14:textId="77777777" w:rsidR="000D3B00" w:rsidRDefault="000D3B00">
      <w:pPr>
        <w:ind w:left="-360" w:right="-540"/>
        <w:rPr>
          <w:rFonts w:ascii="Arial" w:eastAsia="Arial" w:hAnsi="Arial" w:cs="Arial"/>
          <w:sz w:val="22"/>
          <w:szCs w:val="22"/>
        </w:rPr>
      </w:pPr>
    </w:p>
    <w:p w14:paraId="21A7E2A9" w14:textId="77777777" w:rsidR="002B43EE" w:rsidRPr="002B43EE" w:rsidRDefault="002B43EE">
      <w:pPr>
        <w:ind w:left="-360" w:right="-540"/>
        <w:rPr>
          <w:rFonts w:ascii="Arial" w:eastAsia="Arial" w:hAnsi="Arial" w:cs="Arial"/>
          <w:sz w:val="22"/>
          <w:szCs w:val="22"/>
        </w:rPr>
      </w:pPr>
    </w:p>
    <w:p w14:paraId="4A52870A" w14:textId="52DE79BD" w:rsidR="000D3B00" w:rsidRPr="002B43EE" w:rsidRDefault="002B43EE">
      <w:pPr>
        <w:ind w:left="-360" w:right="-540"/>
        <w:rPr>
          <w:rFonts w:ascii="Arial" w:eastAsia="Arial" w:hAnsi="Arial" w:cs="Arial"/>
          <w:sz w:val="22"/>
          <w:szCs w:val="22"/>
        </w:rPr>
      </w:pPr>
      <w:r w:rsidRPr="002B43EE">
        <w:rPr>
          <w:rFonts w:ascii="Arial" w:eastAsia="Arial" w:hAnsi="Arial" w:cs="Arial"/>
          <w:sz w:val="22"/>
          <w:szCs w:val="22"/>
        </w:rPr>
        <w:t>The retention component of the law was eliminated these past three years because of COVID-19, but schools continued to proactively develop and implement reading improvement and monitoring plans for students, just as they would under HB 49</w:t>
      </w:r>
      <w:r w:rsidR="00DA69BB">
        <w:rPr>
          <w:rFonts w:ascii="Arial" w:eastAsia="Arial" w:hAnsi="Arial" w:cs="Arial"/>
          <w:sz w:val="22"/>
          <w:szCs w:val="22"/>
        </w:rPr>
        <w:t>7</w:t>
      </w:r>
      <w:r w:rsidR="00FD223A">
        <w:rPr>
          <w:rFonts w:ascii="Arial" w:eastAsia="Arial" w:hAnsi="Arial" w:cs="Arial"/>
          <w:sz w:val="22"/>
          <w:szCs w:val="22"/>
        </w:rPr>
        <w:t>a</w:t>
      </w:r>
      <w:r w:rsidRPr="002B43EE">
        <w:rPr>
          <w:rFonts w:ascii="Arial" w:eastAsia="Arial" w:hAnsi="Arial" w:cs="Arial"/>
          <w:sz w:val="22"/>
          <w:szCs w:val="22"/>
        </w:rPr>
        <w:t xml:space="preserve">.  Passing this bill simply removes the reactive part – retention – that feels punitive toward the student who just needs more help. </w:t>
      </w:r>
    </w:p>
    <w:p w14:paraId="4A52870B" w14:textId="77777777" w:rsidR="000D3B00" w:rsidRPr="002B43EE" w:rsidRDefault="000D3B00">
      <w:pPr>
        <w:ind w:left="-360" w:right="-540"/>
        <w:rPr>
          <w:rFonts w:ascii="Arial" w:eastAsia="Arial" w:hAnsi="Arial" w:cs="Arial"/>
          <w:sz w:val="22"/>
          <w:szCs w:val="22"/>
        </w:rPr>
      </w:pPr>
    </w:p>
    <w:p w14:paraId="4A52870C" w14:textId="77777777" w:rsidR="000D3B00" w:rsidRPr="002B43EE" w:rsidRDefault="002B43EE">
      <w:pPr>
        <w:ind w:left="-360" w:right="-540"/>
        <w:rPr>
          <w:rFonts w:ascii="Arial" w:eastAsia="Arial" w:hAnsi="Arial" w:cs="Arial"/>
          <w:sz w:val="22"/>
          <w:szCs w:val="22"/>
        </w:rPr>
      </w:pPr>
      <w:r w:rsidRPr="002B43EE">
        <w:rPr>
          <w:rFonts w:ascii="Arial" w:eastAsia="Arial" w:hAnsi="Arial" w:cs="Arial"/>
          <w:sz w:val="22"/>
          <w:szCs w:val="22"/>
        </w:rPr>
        <w:t>Thank you for allowing me to testify on this important legislation. I would be happy to field any questions.</w:t>
      </w:r>
    </w:p>
    <w:p w14:paraId="4A52870D" w14:textId="77777777" w:rsidR="000D3B00" w:rsidRPr="002B43EE" w:rsidRDefault="002B43EE">
      <w:pPr>
        <w:ind w:left="-360" w:right="-540"/>
        <w:rPr>
          <w:rFonts w:ascii="Arial" w:eastAsia="Arial" w:hAnsi="Arial" w:cs="Arial"/>
          <w:sz w:val="22"/>
          <w:szCs w:val="22"/>
        </w:rPr>
      </w:pPr>
      <w:r w:rsidRPr="002B43EE">
        <w:rPr>
          <w:rFonts w:ascii="Arial" w:eastAsia="Arial" w:hAnsi="Arial" w:cs="Arial"/>
          <w:sz w:val="22"/>
          <w:szCs w:val="22"/>
        </w:rPr>
        <w:t xml:space="preserve"> </w:t>
      </w:r>
    </w:p>
    <w:p w14:paraId="4A52870E" w14:textId="77777777" w:rsidR="000D3B00" w:rsidRPr="002B43EE" w:rsidRDefault="000D3B00">
      <w:pPr>
        <w:ind w:left="-360" w:right="-540"/>
        <w:rPr>
          <w:rFonts w:ascii="Arial" w:eastAsia="Arial" w:hAnsi="Arial" w:cs="Arial"/>
          <w:sz w:val="22"/>
          <w:szCs w:val="22"/>
        </w:rPr>
      </w:pPr>
    </w:p>
    <w:p w14:paraId="4A52870F" w14:textId="77777777" w:rsidR="000D3B00" w:rsidRPr="002B43EE" w:rsidRDefault="000D3B00">
      <w:pPr>
        <w:ind w:left="-360" w:right="-540"/>
        <w:rPr>
          <w:rFonts w:ascii="Arial" w:eastAsia="Arial" w:hAnsi="Arial" w:cs="Arial"/>
          <w:sz w:val="22"/>
          <w:szCs w:val="22"/>
        </w:rPr>
      </w:pPr>
    </w:p>
    <w:p w14:paraId="4A528710" w14:textId="77777777" w:rsidR="000D3B00" w:rsidRPr="002B43EE" w:rsidRDefault="002B43EE">
      <w:pPr>
        <w:ind w:left="-360" w:right="-540"/>
        <w:rPr>
          <w:rFonts w:ascii="Arial" w:eastAsia="Arial" w:hAnsi="Arial" w:cs="Arial"/>
          <w:sz w:val="20"/>
          <w:szCs w:val="20"/>
        </w:rPr>
      </w:pPr>
      <w:r w:rsidRPr="002B43EE">
        <w:rPr>
          <w:rFonts w:ascii="Arial" w:eastAsia="Arial" w:hAnsi="Arial" w:cs="Arial"/>
          <w:sz w:val="20"/>
          <w:szCs w:val="20"/>
        </w:rPr>
        <w:t>References</w:t>
      </w:r>
    </w:p>
    <w:p w14:paraId="4A528711" w14:textId="77777777" w:rsidR="000D3B00" w:rsidRPr="002B43EE" w:rsidRDefault="002B43EE">
      <w:pPr>
        <w:ind w:left="-360" w:right="-540"/>
        <w:rPr>
          <w:rFonts w:ascii="Arial" w:eastAsia="Arial" w:hAnsi="Arial" w:cs="Arial"/>
          <w:sz w:val="20"/>
          <w:szCs w:val="20"/>
        </w:rPr>
      </w:pPr>
      <w:r w:rsidRPr="002B43EE">
        <w:rPr>
          <w:rFonts w:ascii="Arial" w:eastAsia="Arial" w:hAnsi="Arial" w:cs="Arial"/>
          <w:sz w:val="20"/>
          <w:szCs w:val="20"/>
        </w:rPr>
        <w:t xml:space="preserve">Andrew, M. (2014). The scarring effects of primary-grade retention? A study of cumulative advantage in the educational career. Social Forces, 93(2), 653–685. </w:t>
      </w:r>
      <w:hyperlink r:id="rId7">
        <w:r w:rsidRPr="002B43EE">
          <w:rPr>
            <w:rFonts w:ascii="Arial" w:eastAsia="Arial" w:hAnsi="Arial" w:cs="Arial"/>
            <w:sz w:val="20"/>
            <w:szCs w:val="20"/>
            <w:u w:val="single"/>
          </w:rPr>
          <w:t>https://doi.org/10.1093/sf/sou074</w:t>
        </w:r>
      </w:hyperlink>
    </w:p>
    <w:p w14:paraId="4A528712" w14:textId="77777777" w:rsidR="000D3B00" w:rsidRPr="002B43EE" w:rsidRDefault="000D3B00">
      <w:pPr>
        <w:ind w:left="-360" w:right="-540"/>
        <w:rPr>
          <w:rFonts w:ascii="Arial" w:eastAsia="Arial" w:hAnsi="Arial" w:cs="Arial"/>
          <w:sz w:val="20"/>
          <w:szCs w:val="20"/>
        </w:rPr>
      </w:pPr>
    </w:p>
    <w:p w14:paraId="4A528713" w14:textId="77777777" w:rsidR="000D3B00" w:rsidRPr="002B43EE" w:rsidRDefault="002B43EE">
      <w:pPr>
        <w:ind w:left="-360" w:right="-540"/>
        <w:rPr>
          <w:rFonts w:ascii="Arial" w:eastAsia="Arial" w:hAnsi="Arial" w:cs="Arial"/>
          <w:sz w:val="20"/>
          <w:szCs w:val="20"/>
        </w:rPr>
      </w:pPr>
      <w:proofErr w:type="spellStart"/>
      <w:r w:rsidRPr="002B43EE">
        <w:rPr>
          <w:rFonts w:ascii="Arial" w:eastAsia="Arial" w:hAnsi="Arial" w:cs="Arial"/>
          <w:sz w:val="20"/>
          <w:szCs w:val="20"/>
        </w:rPr>
        <w:t>Fruehwirth</w:t>
      </w:r>
      <w:proofErr w:type="spellEnd"/>
      <w:r w:rsidRPr="002B43EE">
        <w:rPr>
          <w:rFonts w:ascii="Arial" w:eastAsia="Arial" w:hAnsi="Arial" w:cs="Arial"/>
          <w:sz w:val="20"/>
          <w:szCs w:val="20"/>
        </w:rPr>
        <w:t>, J. C., Navarro, S., &amp; Takahashi, Y. (2016) How the timing of grade retention affects outcomes: Identification and estimation of time-varying treatment effects. Journal of Labor Economics, 34(4), 979–1021.</w:t>
      </w:r>
    </w:p>
    <w:p w14:paraId="4A528714" w14:textId="77777777" w:rsidR="000D3B00" w:rsidRPr="002B43EE" w:rsidRDefault="000D3B00">
      <w:pPr>
        <w:ind w:left="-360" w:right="-540"/>
        <w:rPr>
          <w:rFonts w:ascii="Arial" w:eastAsia="Arial" w:hAnsi="Arial" w:cs="Arial"/>
          <w:sz w:val="20"/>
          <w:szCs w:val="20"/>
        </w:rPr>
      </w:pPr>
    </w:p>
    <w:p w14:paraId="4A528715" w14:textId="77777777" w:rsidR="000D3B00" w:rsidRPr="002B43EE" w:rsidRDefault="002B43EE">
      <w:pPr>
        <w:ind w:left="-360" w:right="-540"/>
        <w:rPr>
          <w:rFonts w:ascii="Arial" w:eastAsia="Arial" w:hAnsi="Arial" w:cs="Arial"/>
          <w:sz w:val="20"/>
          <w:szCs w:val="20"/>
        </w:rPr>
      </w:pPr>
      <w:r w:rsidRPr="002B43EE">
        <w:rPr>
          <w:rFonts w:ascii="Arial" w:eastAsia="Arial" w:hAnsi="Arial" w:cs="Arial"/>
          <w:sz w:val="20"/>
          <w:szCs w:val="20"/>
        </w:rPr>
        <w:t>Hughes, J. N., West, S. G., Kim, H., &amp; Bauer, S. S. (2018). Effect of early grade retention on school completion: A prospective study. Journal of Educational Psychology, 110(7), 974–991. https://doi.org/10.1037/edu0000243</w:t>
      </w:r>
    </w:p>
    <w:p w14:paraId="4A528716" w14:textId="77777777" w:rsidR="000D3B00" w:rsidRPr="002B43EE" w:rsidRDefault="000D3B00">
      <w:pPr>
        <w:ind w:left="-360" w:right="-540"/>
        <w:rPr>
          <w:rFonts w:ascii="Arial" w:eastAsia="Arial" w:hAnsi="Arial" w:cs="Arial"/>
          <w:sz w:val="20"/>
          <w:szCs w:val="20"/>
        </w:rPr>
      </w:pPr>
    </w:p>
    <w:p w14:paraId="4A528717" w14:textId="77777777" w:rsidR="000D3B00" w:rsidRPr="002B43EE" w:rsidRDefault="002B43EE">
      <w:pPr>
        <w:ind w:left="-360" w:right="-540"/>
        <w:rPr>
          <w:rFonts w:ascii="Arial" w:eastAsia="Arial" w:hAnsi="Arial" w:cs="Arial"/>
          <w:sz w:val="20"/>
          <w:szCs w:val="20"/>
        </w:rPr>
      </w:pPr>
      <w:r w:rsidRPr="002B43EE">
        <w:rPr>
          <w:rFonts w:ascii="Arial" w:eastAsia="Arial" w:hAnsi="Arial" w:cs="Arial"/>
          <w:sz w:val="20"/>
          <w:szCs w:val="20"/>
        </w:rPr>
        <w:t xml:space="preserve">Hwang, S. H. J., &amp; Cappella, E. (2019) Rethinking early elementary grade retention: Examining long-term academic and psychosocial outcomes. Journal of Research on Educational Effectiveness, 11(4), 559–587, </w:t>
      </w:r>
      <w:hyperlink r:id="rId8">
        <w:r w:rsidRPr="002B43EE">
          <w:rPr>
            <w:rFonts w:ascii="Arial" w:eastAsia="Arial" w:hAnsi="Arial" w:cs="Arial"/>
            <w:sz w:val="20"/>
            <w:szCs w:val="20"/>
            <w:u w:val="single"/>
          </w:rPr>
          <w:t>http://doi.org/10.1080/19345747.2018.1496500</w:t>
        </w:r>
      </w:hyperlink>
    </w:p>
    <w:p w14:paraId="4A528718" w14:textId="77777777" w:rsidR="000D3B00" w:rsidRPr="002B43EE" w:rsidRDefault="000D3B00">
      <w:pPr>
        <w:ind w:left="-360" w:right="-540"/>
        <w:rPr>
          <w:rFonts w:ascii="Arial" w:eastAsia="Arial" w:hAnsi="Arial" w:cs="Arial"/>
          <w:sz w:val="20"/>
          <w:szCs w:val="20"/>
        </w:rPr>
      </w:pPr>
    </w:p>
    <w:p w14:paraId="4A528719" w14:textId="77777777" w:rsidR="000D3B00" w:rsidRPr="002B43EE" w:rsidRDefault="002B43EE">
      <w:pPr>
        <w:ind w:left="-360" w:right="-540"/>
        <w:rPr>
          <w:rFonts w:ascii="Arial" w:eastAsia="Arial" w:hAnsi="Arial" w:cs="Arial"/>
          <w:sz w:val="20"/>
          <w:szCs w:val="20"/>
        </w:rPr>
      </w:pPr>
      <w:r w:rsidRPr="002B43EE">
        <w:rPr>
          <w:rFonts w:ascii="Arial" w:eastAsia="Arial" w:hAnsi="Arial" w:cs="Arial"/>
          <w:sz w:val="20"/>
          <w:szCs w:val="20"/>
        </w:rPr>
        <w:t xml:space="preserve">Jacob, B. A., &amp; </w:t>
      </w:r>
      <w:proofErr w:type="spellStart"/>
      <w:r w:rsidRPr="002B43EE">
        <w:rPr>
          <w:rFonts w:ascii="Arial" w:eastAsia="Arial" w:hAnsi="Arial" w:cs="Arial"/>
          <w:sz w:val="20"/>
          <w:szCs w:val="20"/>
        </w:rPr>
        <w:t>Lefgren</w:t>
      </w:r>
      <w:proofErr w:type="spellEnd"/>
      <w:r w:rsidRPr="002B43EE">
        <w:rPr>
          <w:rFonts w:ascii="Arial" w:eastAsia="Arial" w:hAnsi="Arial" w:cs="Arial"/>
          <w:sz w:val="20"/>
          <w:szCs w:val="20"/>
        </w:rPr>
        <w:t>, L. (2009) The effect of grade retention on high school completion. American Journal of Applied Economics, 1(3), 33–58.</w:t>
      </w:r>
    </w:p>
    <w:p w14:paraId="4A52871A" w14:textId="77777777" w:rsidR="000D3B00" w:rsidRPr="002B43EE" w:rsidRDefault="000D3B00">
      <w:pPr>
        <w:ind w:left="-360" w:right="-540"/>
        <w:rPr>
          <w:rFonts w:ascii="Arial" w:eastAsia="Arial" w:hAnsi="Arial" w:cs="Arial"/>
          <w:sz w:val="20"/>
          <w:szCs w:val="20"/>
        </w:rPr>
      </w:pPr>
    </w:p>
    <w:p w14:paraId="4A52871B" w14:textId="77777777" w:rsidR="000D3B00" w:rsidRPr="002B43EE" w:rsidRDefault="002B43EE">
      <w:pPr>
        <w:ind w:left="-360" w:right="-540"/>
        <w:rPr>
          <w:rFonts w:ascii="Arial" w:eastAsia="Arial" w:hAnsi="Arial" w:cs="Arial"/>
          <w:sz w:val="20"/>
          <w:szCs w:val="20"/>
        </w:rPr>
      </w:pPr>
      <w:r w:rsidRPr="002B43EE">
        <w:rPr>
          <w:rFonts w:ascii="Arial" w:eastAsia="Arial" w:hAnsi="Arial" w:cs="Arial"/>
          <w:sz w:val="20"/>
          <w:szCs w:val="20"/>
        </w:rPr>
        <w:t xml:space="preserve">Jimerson, S. R. (2001). Meta-analysis of grade retention research: Implications for practice in the 21st century. School Psychology Review, 30, 420–437. </w:t>
      </w:r>
      <w:hyperlink r:id="rId9">
        <w:r w:rsidRPr="002B43EE">
          <w:rPr>
            <w:rFonts w:ascii="Arial" w:eastAsia="Arial" w:hAnsi="Arial" w:cs="Arial"/>
            <w:sz w:val="20"/>
            <w:szCs w:val="20"/>
            <w:u w:val="single"/>
          </w:rPr>
          <w:t>https://doi.org/10.1080/02796015.2001.12086124</w:t>
        </w:r>
      </w:hyperlink>
    </w:p>
    <w:p w14:paraId="4A52871C" w14:textId="77777777" w:rsidR="000D3B00" w:rsidRPr="002B43EE" w:rsidRDefault="000D3B00">
      <w:pPr>
        <w:ind w:left="-360" w:right="-540"/>
        <w:rPr>
          <w:rFonts w:ascii="Arial" w:eastAsia="Arial" w:hAnsi="Arial" w:cs="Arial"/>
          <w:sz w:val="20"/>
          <w:szCs w:val="20"/>
        </w:rPr>
      </w:pPr>
    </w:p>
    <w:p w14:paraId="4A52871D" w14:textId="77777777" w:rsidR="000D3B00" w:rsidRPr="002B43EE" w:rsidRDefault="002B43EE">
      <w:pPr>
        <w:ind w:left="-360" w:right="-540"/>
        <w:rPr>
          <w:rFonts w:ascii="Arial" w:eastAsia="Arial" w:hAnsi="Arial" w:cs="Arial"/>
          <w:sz w:val="20"/>
          <w:szCs w:val="20"/>
        </w:rPr>
      </w:pPr>
      <w:r w:rsidRPr="002B43EE">
        <w:rPr>
          <w:rFonts w:ascii="Arial" w:eastAsia="Arial" w:hAnsi="Arial" w:cs="Arial"/>
          <w:sz w:val="20"/>
          <w:szCs w:val="20"/>
        </w:rPr>
        <w:t xml:space="preserve">Stearns, E., Moller, S., </w:t>
      </w:r>
      <w:proofErr w:type="spellStart"/>
      <w:r w:rsidRPr="002B43EE">
        <w:rPr>
          <w:rFonts w:ascii="Arial" w:eastAsia="Arial" w:hAnsi="Arial" w:cs="Arial"/>
          <w:sz w:val="20"/>
          <w:szCs w:val="20"/>
        </w:rPr>
        <w:t>Blau</w:t>
      </w:r>
      <w:proofErr w:type="spellEnd"/>
      <w:r w:rsidRPr="002B43EE">
        <w:rPr>
          <w:rFonts w:ascii="Arial" w:eastAsia="Arial" w:hAnsi="Arial" w:cs="Arial"/>
          <w:sz w:val="20"/>
          <w:szCs w:val="20"/>
        </w:rPr>
        <w:t xml:space="preserve">, J., &amp; </w:t>
      </w:r>
      <w:proofErr w:type="spellStart"/>
      <w:r w:rsidRPr="002B43EE">
        <w:rPr>
          <w:rFonts w:ascii="Arial" w:eastAsia="Arial" w:hAnsi="Arial" w:cs="Arial"/>
          <w:sz w:val="20"/>
          <w:szCs w:val="20"/>
        </w:rPr>
        <w:t>Potochnick</w:t>
      </w:r>
      <w:proofErr w:type="spellEnd"/>
      <w:r w:rsidRPr="002B43EE">
        <w:rPr>
          <w:rFonts w:ascii="Arial" w:eastAsia="Arial" w:hAnsi="Arial" w:cs="Arial"/>
          <w:sz w:val="20"/>
          <w:szCs w:val="20"/>
        </w:rPr>
        <w:t xml:space="preserve">, S. (2016) Staying back and dropping out: The relationship between grade retention and school dropout. Sociology of Education, 80(3), 210–240. </w:t>
      </w:r>
      <w:hyperlink r:id="rId10">
        <w:r w:rsidRPr="002B43EE">
          <w:rPr>
            <w:rFonts w:ascii="Arial" w:eastAsia="Arial" w:hAnsi="Arial" w:cs="Arial"/>
            <w:sz w:val="20"/>
            <w:szCs w:val="20"/>
            <w:u w:val="single"/>
          </w:rPr>
          <w:t>https://doi.org/10.1177/003804070708000302</w:t>
        </w:r>
      </w:hyperlink>
    </w:p>
    <w:p w14:paraId="4A52871E" w14:textId="77777777" w:rsidR="000D3B00" w:rsidRPr="002B43EE" w:rsidRDefault="000D3B00">
      <w:pPr>
        <w:ind w:left="-360" w:right="-540"/>
        <w:rPr>
          <w:rFonts w:ascii="Arial" w:eastAsia="Arial" w:hAnsi="Arial" w:cs="Arial"/>
          <w:sz w:val="20"/>
          <w:szCs w:val="20"/>
        </w:rPr>
      </w:pPr>
    </w:p>
    <w:sectPr w:rsidR="000D3B00" w:rsidRPr="002B43EE">
      <w:headerReference w:type="even" r:id="rId11"/>
      <w:headerReference w:type="default" r:id="rId12"/>
      <w:footerReference w:type="even" r:id="rId13"/>
      <w:footerReference w:type="default" r:id="rId14"/>
      <w:headerReference w:type="first" r:id="rId15"/>
      <w:footerReference w:type="first" r:id="rId16"/>
      <w:pgSz w:w="12240" w:h="15840"/>
      <w:pgMar w:top="1080" w:right="1800" w:bottom="108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9D87" w14:textId="77777777" w:rsidR="000652C6" w:rsidRDefault="000652C6">
      <w:r>
        <w:separator/>
      </w:r>
    </w:p>
  </w:endnote>
  <w:endnote w:type="continuationSeparator" w:id="0">
    <w:p w14:paraId="21218361" w14:textId="77777777" w:rsidR="000652C6" w:rsidRDefault="0006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8721" w14:textId="77777777" w:rsidR="000D3B00" w:rsidRDefault="000D3B0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8722" w14:textId="77777777" w:rsidR="000D3B00" w:rsidRDefault="000D3B00">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8724" w14:textId="77777777" w:rsidR="000D3B00" w:rsidRDefault="000D3B0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BB2DE" w14:textId="77777777" w:rsidR="000652C6" w:rsidRDefault="000652C6">
      <w:r>
        <w:separator/>
      </w:r>
    </w:p>
  </w:footnote>
  <w:footnote w:type="continuationSeparator" w:id="0">
    <w:p w14:paraId="7A17AB40" w14:textId="77777777" w:rsidR="000652C6" w:rsidRDefault="00065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871F" w14:textId="77777777" w:rsidR="000D3B00" w:rsidRDefault="000652C6">
    <w:pPr>
      <w:pBdr>
        <w:top w:val="nil"/>
        <w:left w:val="nil"/>
        <w:bottom w:val="nil"/>
        <w:right w:val="nil"/>
        <w:between w:val="nil"/>
      </w:pBdr>
      <w:tabs>
        <w:tab w:val="center" w:pos="4320"/>
        <w:tab w:val="right" w:pos="8640"/>
      </w:tabs>
      <w:rPr>
        <w:color w:val="000000"/>
      </w:rPr>
    </w:pPr>
    <w:r>
      <w:rPr>
        <w:color w:val="000000"/>
      </w:rPr>
      <w:pict w14:anchorId="4A528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1pt;height:792.2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8720" w14:textId="77777777" w:rsidR="000D3B00" w:rsidRDefault="000652C6">
    <w:pPr>
      <w:pBdr>
        <w:top w:val="nil"/>
        <w:left w:val="nil"/>
        <w:bottom w:val="nil"/>
        <w:right w:val="nil"/>
        <w:between w:val="nil"/>
      </w:pBdr>
      <w:tabs>
        <w:tab w:val="center" w:pos="4320"/>
        <w:tab w:val="right" w:pos="8640"/>
      </w:tabs>
      <w:rPr>
        <w:color w:val="000000"/>
      </w:rPr>
    </w:pPr>
    <w:r>
      <w:rPr>
        <w:color w:val="000000"/>
      </w:rPr>
      <w:pict w14:anchorId="4A528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612.1pt;height:792.25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8723" w14:textId="77777777" w:rsidR="000D3B00" w:rsidRDefault="000652C6">
    <w:pPr>
      <w:pBdr>
        <w:top w:val="nil"/>
        <w:left w:val="nil"/>
        <w:bottom w:val="nil"/>
        <w:right w:val="nil"/>
        <w:between w:val="nil"/>
      </w:pBdr>
      <w:tabs>
        <w:tab w:val="center" w:pos="4320"/>
        <w:tab w:val="right" w:pos="8640"/>
      </w:tabs>
      <w:rPr>
        <w:color w:val="000000"/>
      </w:rPr>
    </w:pPr>
    <w:r>
      <w:rPr>
        <w:color w:val="000000"/>
      </w:rPr>
      <w:pict w14:anchorId="4A528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612.1pt;height:792.25pt;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B00"/>
    <w:rsid w:val="000652C6"/>
    <w:rsid w:val="000D3B00"/>
    <w:rsid w:val="002B43EE"/>
    <w:rsid w:val="008E08A7"/>
    <w:rsid w:val="00DA69BB"/>
    <w:rsid w:val="00EF6565"/>
    <w:rsid w:val="00FD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286E5"/>
  <w15:docId w15:val="{9B1E63C8-5B63-4863-95FD-CF8A25EF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8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AE78A1"/>
    <w:pPr>
      <w:tabs>
        <w:tab w:val="center" w:pos="4320"/>
        <w:tab w:val="right" w:pos="8640"/>
      </w:tabs>
    </w:pPr>
  </w:style>
  <w:style w:type="character" w:customStyle="1" w:styleId="HeaderChar">
    <w:name w:val="Header Char"/>
    <w:basedOn w:val="DefaultParagraphFont"/>
    <w:link w:val="Header"/>
    <w:uiPriority w:val="99"/>
    <w:semiHidden/>
    <w:rsid w:val="00AE78A1"/>
    <w:rPr>
      <w:sz w:val="24"/>
      <w:szCs w:val="24"/>
    </w:rPr>
  </w:style>
  <w:style w:type="paragraph" w:styleId="Footer">
    <w:name w:val="footer"/>
    <w:basedOn w:val="Normal"/>
    <w:link w:val="FooterChar"/>
    <w:uiPriority w:val="99"/>
    <w:semiHidden/>
    <w:unhideWhenUsed/>
    <w:rsid w:val="00AE78A1"/>
    <w:pPr>
      <w:tabs>
        <w:tab w:val="center" w:pos="4320"/>
        <w:tab w:val="right" w:pos="8640"/>
      </w:tabs>
    </w:pPr>
  </w:style>
  <w:style w:type="character" w:customStyle="1" w:styleId="FooterChar">
    <w:name w:val="Footer Char"/>
    <w:basedOn w:val="DefaultParagraphFont"/>
    <w:link w:val="Footer"/>
    <w:uiPriority w:val="99"/>
    <w:semiHidden/>
    <w:rsid w:val="00AE78A1"/>
    <w:rPr>
      <w:sz w:val="24"/>
      <w:szCs w:val="24"/>
    </w:rPr>
  </w:style>
  <w:style w:type="character" w:styleId="Hyperlink">
    <w:name w:val="Hyperlink"/>
    <w:basedOn w:val="DefaultParagraphFont"/>
    <w:uiPriority w:val="99"/>
    <w:unhideWhenUsed/>
    <w:rsid w:val="00AE78A1"/>
    <w:rPr>
      <w:color w:val="0000FF" w:themeColor="hyperlink"/>
      <w:u w:val="single"/>
    </w:rPr>
  </w:style>
  <w:style w:type="paragraph" w:styleId="BalloonText">
    <w:name w:val="Balloon Text"/>
    <w:basedOn w:val="Normal"/>
    <w:link w:val="BalloonTextChar"/>
    <w:uiPriority w:val="99"/>
    <w:semiHidden/>
    <w:unhideWhenUsed/>
    <w:rsid w:val="005D5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C2C"/>
    <w:rPr>
      <w:rFonts w:ascii="Segoe UI" w:hAnsi="Segoe UI" w:cs="Segoe UI"/>
      <w:sz w:val="18"/>
      <w:szCs w:val="18"/>
    </w:rPr>
  </w:style>
  <w:style w:type="paragraph" w:styleId="ListParagraph">
    <w:name w:val="List Paragraph"/>
    <w:basedOn w:val="Normal"/>
    <w:uiPriority w:val="34"/>
    <w:qFormat/>
    <w:rsid w:val="000117F1"/>
    <w:pPr>
      <w:spacing w:after="200" w:line="276" w:lineRule="auto"/>
      <w:ind w:left="720"/>
      <w:contextualSpacing/>
    </w:pPr>
    <w:rPr>
      <w:sz w:val="22"/>
      <w:szCs w:val="22"/>
    </w:rPr>
  </w:style>
  <w:style w:type="character" w:styleId="UnresolvedMention">
    <w:name w:val="Unresolved Mention"/>
    <w:basedOn w:val="DefaultParagraphFont"/>
    <w:uiPriority w:val="99"/>
    <w:semiHidden/>
    <w:unhideWhenUsed/>
    <w:rsid w:val="001354E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oi.org/10.1080/19345747.2018.149650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93/sf/sou07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177/003804070708000302" TargetMode="External"/><Relationship Id="rId4" Type="http://schemas.openxmlformats.org/officeDocument/2006/relationships/webSettings" Target="webSettings.xml"/><Relationship Id="rId9" Type="http://schemas.openxmlformats.org/officeDocument/2006/relationships/hyperlink" Target="https://doi.org/10.1080/02796015.2001.1208612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53vnK9BJoQ6xJDURFHzYQWo4ow==">AMUW2mUKxOop91veNBkDPs31Kn8ry5aogdb44xO06eR2/zmYYp6fxskX7KLZesTZuZDFj07rM3VJJPevV1HHjSCVHiUspZ85mtyBgvE+X8KyfCeroqSsN7g=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VanDenBerge User</dc:creator>
  <cp:lastModifiedBy>Rachel Chilton</cp:lastModifiedBy>
  <cp:revision>5</cp:revision>
  <dcterms:created xsi:type="dcterms:W3CDTF">2022-04-05T19:49:00Z</dcterms:created>
  <dcterms:modified xsi:type="dcterms:W3CDTF">2022-05-11T17:44:00Z</dcterms:modified>
</cp:coreProperties>
</file>